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《玉溪市拥军优属若干规定》（征求意见稿）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征求意见情况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汇总</w:t>
      </w:r>
    </w:p>
    <w:p>
      <w:pPr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tbl>
      <w:tblPr>
        <w:tblStyle w:val="6"/>
        <w:tblW w:w="10014" w:type="dxa"/>
        <w:tblInd w:w="-4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95"/>
        <w:gridCol w:w="4545"/>
        <w:gridCol w:w="2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修改建议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是否采纳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市委组织部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市委政法委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市政府办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市发展改革委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  <w:t>市国资委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w w:val="95"/>
                <w:sz w:val="21"/>
                <w:szCs w:val="21"/>
                <w:lang w:val="en-US" w:eastAsia="zh-CN"/>
              </w:rPr>
              <w:t>市工业和信息化局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eastAsia="zh-CN"/>
              </w:rPr>
              <w:t>市委编办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根据中央、省关于议事协调机构相关要求，将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三条中“各级人民政府应当加强对拥军优属工作的领导，及时调整充实领导组织机构和办事机构，协调解决拥军优属工作中的困难和问题”修改为“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市、县（市、区）人民政府退役军人部门负责本行政区域内的拥军优属工作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”。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此条意见采纳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w w:val="95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市教育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体育局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第二十条修改为：按照《玉溪市教育体育局 玉溪市军分区政治工作处关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于印发玉溪市军人子女教育优待办法实施细则的通知》（玉教体联〔2021〕11号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）第六条相关规定享受优待。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both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此条意见未采纳（主要原因：《军人地位和权益保障法》明确的范围比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（玉教体联〔2021〕11号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文件更广泛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vertAlign w:val="baseli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市科技局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市委统战部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市公安局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市民政局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市司法局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市财政局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市人力资源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社会保障局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  <w:t>市自然资源规划</w:t>
            </w: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市生态环境局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市住房城乡建设局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市交通运输局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市农业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农村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市水利局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市商务局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市文化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和旅游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市卫生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健康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市应急局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税务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市场监管局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市广电局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  <w:t>市医保局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31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市工商联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市总工会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团市委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</w:rPr>
              <w:t>市妇联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玉溪供电局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31637部队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96722部队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武警玉溪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  <w:t>支队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无意见</w:t>
            </w:r>
          </w:p>
        </w:tc>
        <w:tc>
          <w:tcPr>
            <w:tcW w:w="24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2" w:firstLineChars="300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3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玉溪军分区政治处</w:t>
            </w:r>
          </w:p>
        </w:tc>
        <w:tc>
          <w:tcPr>
            <w:tcW w:w="4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建议将第十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五</w:t>
            </w:r>
            <w:r>
              <w:rPr>
                <w:rFonts w:hint="default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条中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“对现役军人荣立一等功的，由地（市）级人民政府退役军人事务部门负责同志和军分区（警备区）负责同志为其家庭送喜报”改为“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军人在部队荣获勋章、荣誉称号以及立功的，其家庭所在地人民政府组织送喜报、慰问其家庭</w:t>
            </w:r>
            <w:r>
              <w:rPr>
                <w:rFonts w:hint="eastAsia" w:ascii="Times New Roman" w:hAnsi="Times New Roman" w:eastAsia="方正仿宋_GBK" w:cs="Times New Roman"/>
                <w:sz w:val="21"/>
                <w:szCs w:val="21"/>
                <w:lang w:val="en-US" w:eastAsia="zh-CN"/>
              </w:rPr>
              <w:t>”。</w:t>
            </w:r>
          </w:p>
        </w:tc>
        <w:tc>
          <w:tcPr>
            <w:tcW w:w="24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此条意见采纳</w:t>
            </w:r>
          </w:p>
        </w:tc>
      </w:tr>
    </w:tbl>
    <w:p>
      <w:pPr>
        <w:jc w:val="center"/>
      </w:pPr>
    </w:p>
    <w:sectPr>
      <w:footerReference r:id="rId3" w:type="default"/>
      <w:footerReference r:id="rId4" w:type="even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Yjc5NTY1ZmZmOWQzYzE5YjQ5NmM0NGNhM2EzNGEifQ=="/>
  </w:docVars>
  <w:rsids>
    <w:rsidRoot w:val="3D782292"/>
    <w:rsid w:val="03A74512"/>
    <w:rsid w:val="07B878F6"/>
    <w:rsid w:val="16E529B3"/>
    <w:rsid w:val="1A8B5089"/>
    <w:rsid w:val="1F876018"/>
    <w:rsid w:val="36EC570D"/>
    <w:rsid w:val="3D782292"/>
    <w:rsid w:val="4CE26B6F"/>
    <w:rsid w:val="54BB20B4"/>
    <w:rsid w:val="57D91936"/>
    <w:rsid w:val="5D373386"/>
    <w:rsid w:val="5D761A19"/>
    <w:rsid w:val="6F0E6500"/>
    <w:rsid w:val="73BD4470"/>
    <w:rsid w:val="759049D8"/>
    <w:rsid w:val="76B52623"/>
    <w:rsid w:val="7F5339D0"/>
    <w:rsid w:val="7FA0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2023-10-17T07:36:00Z</dcterms:created>
  <dc:creator>资雯</dc:creator>
  <cp:lastModifiedBy>自 然 卷</cp:lastModifiedBy>
  <dcterms:modified xsi:type="dcterms:W3CDTF">2023-11-21T11:10:34Z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CE382ECF230A41AB83D3D7455B9C0DBB_13</vt:lpwstr>
  </property>
</Properties>
</file>